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A11F30" w:rsidRDefault="00000000">
      <w:pPr>
        <w:pStyle w:val="Title"/>
        <w:tabs>
          <w:tab w:val="left" w:pos="993"/>
        </w:tabs>
        <w:ind w:firstLine="720"/>
      </w:pPr>
      <w:r>
        <w:t>Your Title Goes Here: It May Carry Over onto a Second Line</w:t>
      </w:r>
    </w:p>
    <w:p w14:paraId="00000002" w14:textId="77777777" w:rsidR="00A11F30" w:rsidRDefault="00000000">
      <w:pPr>
        <w:pBdr>
          <w:top w:val="nil"/>
          <w:left w:val="nil"/>
          <w:bottom w:val="nil"/>
          <w:right w:val="nil"/>
          <w:between w:val="nil"/>
        </w:pBdr>
        <w:spacing w:after="0"/>
        <w:jc w:val="center"/>
        <w:rPr>
          <w:rFonts w:ascii="Times" w:eastAsia="Times" w:hAnsi="Times" w:cs="Times"/>
          <w:b/>
          <w:color w:val="000000"/>
          <w:sz w:val="28"/>
          <w:szCs w:val="28"/>
        </w:rPr>
      </w:pPr>
      <w:r>
        <w:rPr>
          <w:rFonts w:ascii="Times" w:eastAsia="Times" w:hAnsi="Times" w:cs="Times"/>
          <w:b/>
          <w:color w:val="000000"/>
          <w:sz w:val="28"/>
          <w:szCs w:val="28"/>
        </w:rPr>
        <w:t xml:space="preserve">First Author </w:t>
      </w:r>
    </w:p>
    <w:p w14:paraId="00000003" w14:textId="2C8284B9" w:rsidR="00A11F30" w:rsidRDefault="00000000">
      <w:pPr>
        <w:pBdr>
          <w:top w:val="nil"/>
          <w:left w:val="nil"/>
          <w:bottom w:val="nil"/>
          <w:right w:val="nil"/>
          <w:between w:val="nil"/>
        </w:pBdr>
        <w:spacing w:after="0"/>
        <w:jc w:val="center"/>
        <w:rPr>
          <w:rFonts w:ascii="Times" w:eastAsia="Times" w:hAnsi="Times" w:cs="Times"/>
          <w:color w:val="000000"/>
        </w:rPr>
      </w:pPr>
      <w:r>
        <w:rPr>
          <w:rFonts w:ascii="Times" w:eastAsia="Times" w:hAnsi="Times" w:cs="Times"/>
          <w:color w:val="000000"/>
        </w:rPr>
        <w:t>Institutional Affiliation</w:t>
      </w:r>
      <w:r w:rsidR="00BC35CE">
        <w:rPr>
          <w:rFonts w:ascii="Times" w:eastAsia="Times" w:hAnsi="Times" w:cs="Times"/>
          <w:color w:val="000000"/>
        </w:rPr>
        <w:t xml:space="preserve"> (if any)</w:t>
      </w:r>
    </w:p>
    <w:p w14:paraId="00000004" w14:textId="77777777" w:rsidR="00A11F30" w:rsidRDefault="00000000">
      <w:pPr>
        <w:pBdr>
          <w:top w:val="nil"/>
          <w:left w:val="nil"/>
          <w:bottom w:val="nil"/>
          <w:right w:val="nil"/>
          <w:between w:val="nil"/>
        </w:pBdr>
        <w:spacing w:after="0"/>
        <w:jc w:val="center"/>
        <w:rPr>
          <w:rFonts w:ascii="Times" w:eastAsia="Times" w:hAnsi="Times" w:cs="Times"/>
          <w:color w:val="000000"/>
        </w:rPr>
      </w:pPr>
      <w:r>
        <w:rPr>
          <w:rFonts w:ascii="Times" w:eastAsia="Times" w:hAnsi="Times" w:cs="Times"/>
          <w:color w:val="000000"/>
        </w:rPr>
        <w:t>Address line 1</w:t>
      </w:r>
    </w:p>
    <w:p w14:paraId="00000006" w14:textId="042F349D" w:rsidR="00A11F30" w:rsidRDefault="00000000" w:rsidP="00BC35CE">
      <w:pPr>
        <w:pBdr>
          <w:top w:val="nil"/>
          <w:left w:val="nil"/>
          <w:bottom w:val="nil"/>
          <w:right w:val="nil"/>
          <w:between w:val="nil"/>
        </w:pBdr>
        <w:spacing w:after="0"/>
        <w:jc w:val="center"/>
        <w:rPr>
          <w:rFonts w:ascii="Times" w:eastAsia="Times" w:hAnsi="Times" w:cs="Times"/>
          <w:color w:val="000000"/>
        </w:rPr>
      </w:pPr>
      <w:r>
        <w:rPr>
          <w:rFonts w:ascii="Times" w:eastAsia="Times" w:hAnsi="Times" w:cs="Times"/>
          <w:color w:val="000000"/>
        </w:rPr>
        <w:t>Address line 2</w:t>
      </w:r>
    </w:p>
    <w:p w14:paraId="00000007" w14:textId="77777777" w:rsidR="00A11F30" w:rsidRDefault="00000000">
      <w:pPr>
        <w:pBdr>
          <w:top w:val="nil"/>
          <w:left w:val="nil"/>
          <w:bottom w:val="nil"/>
          <w:right w:val="nil"/>
          <w:between w:val="nil"/>
        </w:pBdr>
        <w:jc w:val="center"/>
        <w:rPr>
          <w:rFonts w:ascii="Times" w:eastAsia="Times" w:hAnsi="Times" w:cs="Times"/>
          <w:color w:val="000000"/>
        </w:rPr>
      </w:pPr>
      <w:hyperlink r:id="rId7">
        <w:r>
          <w:rPr>
            <w:rFonts w:ascii="Times" w:eastAsia="Times" w:hAnsi="Times" w:cs="Times"/>
            <w:color w:val="0000FF"/>
            <w:u w:val="single"/>
          </w:rPr>
          <w:t>firstauthor@institution.com</w:t>
        </w:r>
      </w:hyperlink>
      <w:r>
        <w:rPr>
          <w:rFonts w:ascii="Times" w:eastAsia="Times" w:hAnsi="Times" w:cs="Times"/>
          <w:color w:val="000000"/>
        </w:rPr>
        <w:t xml:space="preserve">  </w:t>
      </w:r>
    </w:p>
    <w:p w14:paraId="00000008" w14:textId="77777777" w:rsidR="00A11F30" w:rsidRDefault="00000000">
      <w:pPr>
        <w:pBdr>
          <w:top w:val="nil"/>
          <w:left w:val="nil"/>
          <w:bottom w:val="nil"/>
          <w:right w:val="nil"/>
          <w:between w:val="nil"/>
        </w:pBdr>
        <w:spacing w:after="0"/>
        <w:jc w:val="center"/>
        <w:rPr>
          <w:rFonts w:ascii="Times" w:eastAsia="Times" w:hAnsi="Times" w:cs="Times"/>
          <w:b/>
          <w:color w:val="000000"/>
          <w:sz w:val="28"/>
          <w:szCs w:val="28"/>
        </w:rPr>
      </w:pPr>
      <w:r>
        <w:rPr>
          <w:rFonts w:ascii="Times" w:eastAsia="Times" w:hAnsi="Times" w:cs="Times"/>
          <w:b/>
          <w:color w:val="000000"/>
          <w:sz w:val="28"/>
          <w:szCs w:val="28"/>
        </w:rPr>
        <w:t xml:space="preserve">Second Author, Third Author </w:t>
      </w:r>
    </w:p>
    <w:p w14:paraId="00000009" w14:textId="6E52DC40" w:rsidR="00A11F30" w:rsidRDefault="00000000">
      <w:pPr>
        <w:pBdr>
          <w:top w:val="nil"/>
          <w:left w:val="nil"/>
          <w:bottom w:val="nil"/>
          <w:right w:val="nil"/>
          <w:between w:val="nil"/>
        </w:pBdr>
        <w:spacing w:after="0"/>
        <w:jc w:val="center"/>
        <w:rPr>
          <w:rFonts w:ascii="Times" w:eastAsia="Times" w:hAnsi="Times" w:cs="Times"/>
          <w:color w:val="000000"/>
        </w:rPr>
      </w:pPr>
      <w:r>
        <w:rPr>
          <w:rFonts w:ascii="Times" w:eastAsia="Times" w:hAnsi="Times" w:cs="Times"/>
          <w:color w:val="000000"/>
        </w:rPr>
        <w:t>Institutional Affiliation</w:t>
      </w:r>
      <w:r w:rsidR="00BC35CE">
        <w:rPr>
          <w:rFonts w:ascii="Times" w:eastAsia="Times" w:hAnsi="Times" w:cs="Times"/>
          <w:color w:val="000000"/>
        </w:rPr>
        <w:t xml:space="preserve"> (if any)</w:t>
      </w:r>
    </w:p>
    <w:p w14:paraId="0000000A" w14:textId="77777777" w:rsidR="00A11F30" w:rsidRDefault="00000000">
      <w:pPr>
        <w:pBdr>
          <w:top w:val="nil"/>
          <w:left w:val="nil"/>
          <w:bottom w:val="nil"/>
          <w:right w:val="nil"/>
          <w:between w:val="nil"/>
        </w:pBdr>
        <w:spacing w:after="0"/>
        <w:jc w:val="center"/>
        <w:rPr>
          <w:rFonts w:ascii="Times" w:eastAsia="Times" w:hAnsi="Times" w:cs="Times"/>
          <w:color w:val="000000"/>
        </w:rPr>
      </w:pPr>
      <w:r>
        <w:rPr>
          <w:rFonts w:ascii="Times" w:eastAsia="Times" w:hAnsi="Times" w:cs="Times"/>
          <w:color w:val="000000"/>
        </w:rPr>
        <w:t>Address line 1</w:t>
      </w:r>
    </w:p>
    <w:p w14:paraId="0000000C" w14:textId="4128AD09" w:rsidR="00A11F30" w:rsidRDefault="00000000" w:rsidP="00BC35CE">
      <w:pPr>
        <w:pBdr>
          <w:top w:val="nil"/>
          <w:left w:val="nil"/>
          <w:bottom w:val="nil"/>
          <w:right w:val="nil"/>
          <w:between w:val="nil"/>
        </w:pBdr>
        <w:spacing w:after="0"/>
        <w:jc w:val="center"/>
        <w:rPr>
          <w:rFonts w:ascii="Times" w:eastAsia="Times" w:hAnsi="Times" w:cs="Times"/>
          <w:color w:val="000000"/>
        </w:rPr>
      </w:pPr>
      <w:r>
        <w:rPr>
          <w:rFonts w:ascii="Times" w:eastAsia="Times" w:hAnsi="Times" w:cs="Times"/>
          <w:color w:val="000000"/>
        </w:rPr>
        <w:t>Address line 2</w:t>
      </w:r>
    </w:p>
    <w:p w14:paraId="0000000D" w14:textId="77777777" w:rsidR="00A11F30" w:rsidRDefault="00000000">
      <w:pPr>
        <w:pBdr>
          <w:top w:val="nil"/>
          <w:left w:val="nil"/>
          <w:bottom w:val="nil"/>
          <w:right w:val="nil"/>
          <w:between w:val="nil"/>
        </w:pBdr>
        <w:spacing w:after="0"/>
        <w:jc w:val="center"/>
        <w:rPr>
          <w:rFonts w:ascii="Times" w:eastAsia="Times" w:hAnsi="Times" w:cs="Times"/>
          <w:color w:val="000000"/>
        </w:rPr>
      </w:pPr>
      <w:hyperlink r:id="rId8">
        <w:r>
          <w:rPr>
            <w:rFonts w:ascii="Times" w:eastAsia="Times" w:hAnsi="Times" w:cs="Times"/>
            <w:color w:val="0000FF"/>
            <w:u w:val="single"/>
          </w:rPr>
          <w:t>secondauthor@institution.com</w:t>
        </w:r>
      </w:hyperlink>
      <w:r>
        <w:rPr>
          <w:rFonts w:ascii="Times" w:eastAsia="Times" w:hAnsi="Times" w:cs="Times"/>
          <w:color w:val="000000"/>
        </w:rPr>
        <w:t xml:space="preserve">, </w:t>
      </w:r>
      <w:hyperlink r:id="rId9">
        <w:r>
          <w:rPr>
            <w:rFonts w:ascii="Times" w:eastAsia="Times" w:hAnsi="Times" w:cs="Times"/>
            <w:color w:val="0000FF"/>
            <w:u w:val="single"/>
          </w:rPr>
          <w:t>thirdauthor@institution.com</w:t>
        </w:r>
      </w:hyperlink>
    </w:p>
    <w:p w14:paraId="0000000E" w14:textId="77777777" w:rsidR="00A11F30" w:rsidRDefault="00000000">
      <w:pPr>
        <w:pStyle w:val="Heading2"/>
      </w:pPr>
      <w:r>
        <w:t>Keywords</w:t>
      </w:r>
    </w:p>
    <w:p w14:paraId="0000000F" w14:textId="77777777" w:rsidR="00A11F30" w:rsidRDefault="00000000">
      <w:r>
        <w:t>keywords, help, identifying, suitable, reviewers, readers</w:t>
      </w:r>
    </w:p>
    <w:p w14:paraId="00000010" w14:textId="77777777" w:rsidR="00A11F30" w:rsidRDefault="00000000">
      <w:pPr>
        <w:pStyle w:val="Heading2"/>
      </w:pPr>
      <w:r>
        <w:t>Format of work</w:t>
      </w:r>
    </w:p>
    <w:p w14:paraId="00000011" w14:textId="77777777" w:rsidR="00A11F30" w:rsidRDefault="00000000">
      <w:r>
        <w:t>What format does your creative work take – is it a poster, a game prototype, a website, etc.</w:t>
      </w:r>
    </w:p>
    <w:p w14:paraId="00000012" w14:textId="77777777" w:rsidR="00A11F30" w:rsidRDefault="00000000">
      <w:pPr>
        <w:pStyle w:val="Heading1"/>
      </w:pPr>
      <w:r>
        <w:t>DESCRIPTION OF WORK</w:t>
      </w:r>
    </w:p>
    <w:p w14:paraId="00000013" w14:textId="3D7DD723" w:rsidR="00A11F30" w:rsidRDefault="00000000">
      <w:r>
        <w:t xml:space="preserve">Place your </w:t>
      </w:r>
      <w:proofErr w:type="gramStart"/>
      <w:r>
        <w:t>100-200 word</w:t>
      </w:r>
      <w:proofErr w:type="gramEnd"/>
      <w:r>
        <w:t xml:space="preserve"> description of </w:t>
      </w:r>
      <w:r w:rsidR="00BC35CE">
        <w:t xml:space="preserve">the </w:t>
      </w:r>
      <w:r>
        <w:t xml:space="preserve">work here. </w:t>
      </w:r>
      <w:r w:rsidR="00BC35CE">
        <w:t xml:space="preserve">Consider describing its form and format. </w:t>
      </w:r>
      <w:r>
        <w:t xml:space="preserve">Any links to the work </w:t>
      </w:r>
      <w:r w:rsidR="00BC35CE">
        <w:t>should</w:t>
      </w:r>
      <w:r>
        <w:t xml:space="preserve"> </w:t>
      </w:r>
      <w:r w:rsidR="00BC35CE">
        <w:t xml:space="preserve">also </w:t>
      </w:r>
      <w:r>
        <w:t>be provided here.</w:t>
      </w:r>
    </w:p>
    <w:p w14:paraId="00000014" w14:textId="77777777" w:rsidR="00A11F30" w:rsidRDefault="00000000">
      <w:pPr>
        <w:pStyle w:val="Heading1"/>
      </w:pPr>
      <w:r>
        <w:t>RESEARCH STATEMENT</w:t>
      </w:r>
    </w:p>
    <w:p w14:paraId="4A61BD41" w14:textId="6A3741D3" w:rsidR="001230EF" w:rsidRDefault="00000000">
      <w:r>
        <w:t xml:space="preserve">Place your </w:t>
      </w:r>
      <w:proofErr w:type="gramStart"/>
      <w:r>
        <w:t>200-800 word</w:t>
      </w:r>
      <w:proofErr w:type="gramEnd"/>
      <w:r>
        <w:t xml:space="preserve"> research statement here.</w:t>
      </w:r>
      <w:r w:rsidR="001230EF">
        <w:t xml:space="preserve"> </w:t>
      </w:r>
      <w:r w:rsidR="001230EF">
        <w:t>What research question does your work address?</w:t>
      </w:r>
      <w:r w:rsidR="001230EF">
        <w:t xml:space="preserve"> </w:t>
      </w:r>
      <w:r w:rsidR="001230EF" w:rsidRPr="001230EF">
        <w:rPr>
          <w:lang w:val="en-AU"/>
        </w:rPr>
        <w:t xml:space="preserve">Describe how your work engages with theory </w:t>
      </w:r>
      <w:r w:rsidR="001230EF">
        <w:rPr>
          <w:lang w:val="en-AU"/>
        </w:rPr>
        <w:t xml:space="preserve">(e.g. how is your work theoretically or methodologically informed). </w:t>
      </w:r>
      <w:r>
        <w:t xml:space="preserve">Aim to position your work appropriately and justify its relevance to </w:t>
      </w:r>
      <w:proofErr w:type="spellStart"/>
      <w:r>
        <w:t>DiGRAA</w:t>
      </w:r>
      <w:proofErr w:type="spellEnd"/>
      <w:r w:rsidR="001230EF">
        <w:t>.</w:t>
      </w:r>
    </w:p>
    <w:p w14:paraId="00000019" w14:textId="06EFCCAC" w:rsidR="00A11F30" w:rsidRDefault="00000000">
      <w:r>
        <w:t xml:space="preserve">This format is to be used for submissions that are published in the electronic conference proceedings for </w:t>
      </w:r>
      <w:proofErr w:type="spellStart"/>
      <w:r>
        <w:t>DiGRA</w:t>
      </w:r>
      <w:proofErr w:type="spellEnd"/>
      <w:r>
        <w:t xml:space="preserve"> conferences</w:t>
      </w:r>
      <w:r w:rsidR="001230EF">
        <w:t xml:space="preserve"> at digraa.org</w:t>
      </w:r>
      <w:r>
        <w:t>.</w:t>
      </w:r>
      <w:r>
        <w:rPr>
          <w:vertAlign w:val="superscript"/>
        </w:rPr>
        <w:footnoteReference w:id="1"/>
      </w:r>
      <w:r>
        <w:t xml:space="preserve"> </w:t>
      </w:r>
    </w:p>
    <w:p w14:paraId="0000001A" w14:textId="77777777" w:rsidR="00A11F30" w:rsidRDefault="00000000">
      <w:r>
        <w:t xml:space="preserve">In essence, you should format your paper exactly like this document. The easiest way to do this is simply to download this template from the conference web </w:t>
      </w:r>
      <w:proofErr w:type="gramStart"/>
      <w:r>
        <w:t>site, and</w:t>
      </w:r>
      <w:proofErr w:type="gramEnd"/>
      <w:r>
        <w:t xml:space="preserve"> replace the content with your own material. The template file contains specially formatted styles (e.g. Normal, HEADING levels 1-3, Reference, and Index) that will </w:t>
      </w:r>
      <w:proofErr w:type="spellStart"/>
      <w:r>
        <w:t>minimise</w:t>
      </w:r>
      <w:proofErr w:type="spellEnd"/>
      <w:r>
        <w:t xml:space="preserve"> time spent formatting your submission.</w:t>
      </w:r>
    </w:p>
    <w:p w14:paraId="0000001B" w14:textId="77777777" w:rsidR="00A11F30" w:rsidRDefault="00000000">
      <w:bookmarkStart w:id="0" w:name="_jzd9vln7o9q4" w:colFirst="0" w:colLast="0"/>
      <w:bookmarkEnd w:id="0"/>
      <w:r>
        <w:t>Although this template has been developed in MS Word, you may use any software to prepare your submission. Your article should be submitted as a PDF file.</w:t>
      </w:r>
    </w:p>
    <w:p w14:paraId="0000001C" w14:textId="77777777" w:rsidR="00A11F30" w:rsidRDefault="00000000">
      <w:pPr>
        <w:pStyle w:val="Heading1"/>
      </w:pPr>
      <w:r>
        <w:lastRenderedPageBreak/>
        <w:t>EXHIBITION</w:t>
      </w:r>
    </w:p>
    <w:p w14:paraId="0000001D" w14:textId="77777777" w:rsidR="00A11F30" w:rsidRDefault="00000000">
      <w:r>
        <w:t>Include a short description of how you imagine the work being interacted with at the conference and any display requirements (i.e. a monitor, a table, wi-fi).</w:t>
      </w:r>
    </w:p>
    <w:p w14:paraId="0000001E" w14:textId="77777777" w:rsidR="00A11F30" w:rsidRDefault="00000000">
      <w:pPr>
        <w:pStyle w:val="Heading1"/>
      </w:pPr>
      <w:r>
        <w:t>BIO</w:t>
      </w:r>
    </w:p>
    <w:p w14:paraId="0000001F" w14:textId="77777777" w:rsidR="00A11F30" w:rsidRDefault="00000000">
      <w:r>
        <w:t xml:space="preserve">Place your </w:t>
      </w:r>
      <w:proofErr w:type="gramStart"/>
      <w:r>
        <w:t>100 word</w:t>
      </w:r>
      <w:proofErr w:type="gramEnd"/>
      <w:r>
        <w:t xml:space="preserve"> bio here. This section should be written to help readers situate the submission in the broader context of your past work in game development and/or research. We include this section to help attendees network, and as a gauge of the breadth of games research at </w:t>
      </w:r>
      <w:proofErr w:type="spellStart"/>
      <w:r>
        <w:t>DiGRA</w:t>
      </w:r>
      <w:proofErr w:type="spellEnd"/>
      <w:r>
        <w:t xml:space="preserve"> Australia.</w:t>
      </w:r>
    </w:p>
    <w:p w14:paraId="00000020" w14:textId="77777777" w:rsidR="00A11F30" w:rsidRDefault="00000000">
      <w:pPr>
        <w:pStyle w:val="Heading1"/>
      </w:pPr>
      <w:r>
        <w:t>ACKNOWLEDGEMENTS</w:t>
      </w:r>
    </w:p>
    <w:p w14:paraId="00000021" w14:textId="552064AC" w:rsidR="00A11F30" w:rsidRDefault="00000000">
      <w:r>
        <w:t>Place your acknowledgements here (such as acknowledgements for funding). If you have no acknowledgements, please remove this section.</w:t>
      </w:r>
      <w:r w:rsidR="001230EF">
        <w:t xml:space="preserve"> </w:t>
      </w:r>
      <w:r>
        <w:t xml:space="preserve">This template (originally used for </w:t>
      </w:r>
      <w:proofErr w:type="spellStart"/>
      <w:r>
        <w:t>DiGRA</w:t>
      </w:r>
      <w:proofErr w:type="spellEnd"/>
      <w:r>
        <w:t xml:space="preserve"> 2011) was developed based on a similar template for the CHI conference (Doe and Smith 2011) and the template from </w:t>
      </w:r>
      <w:proofErr w:type="spellStart"/>
      <w:r>
        <w:t>DiGRA</w:t>
      </w:r>
      <w:proofErr w:type="spellEnd"/>
      <w:r>
        <w:t xml:space="preserve"> 2005. Some references in this template are cited for illustrative purposes only. Special thanks to Annika </w:t>
      </w:r>
      <w:proofErr w:type="spellStart"/>
      <w:r>
        <w:t>Waern</w:t>
      </w:r>
      <w:proofErr w:type="spellEnd"/>
      <w:r>
        <w:t xml:space="preserve"> and José Zagal.</w:t>
      </w:r>
    </w:p>
    <w:p w14:paraId="00000022" w14:textId="77777777" w:rsidR="00A11F30" w:rsidRDefault="00000000">
      <w:pPr>
        <w:pStyle w:val="Heading1"/>
      </w:pPr>
      <w:r>
        <w:t xml:space="preserve">ENDNOTES AND BIBLIOGRAPHY </w:t>
      </w:r>
    </w:p>
    <w:p w14:paraId="00000023" w14:textId="77777777" w:rsidR="00A11F30" w:rsidRDefault="00000000">
      <w:pPr>
        <w:pStyle w:val="Heading2"/>
      </w:pPr>
      <w:r>
        <w:t>Endnotes</w:t>
      </w:r>
    </w:p>
    <w:p w14:paraId="00000024" w14:textId="77777777" w:rsidR="00A11F30" w:rsidRDefault="00000000">
      <w:proofErr w:type="spellStart"/>
      <w:r>
        <w:t>DiGRA</w:t>
      </w:r>
      <w:proofErr w:type="spellEnd"/>
      <w:r>
        <w:t xml:space="preserve"> recommends the use of endnotes</w:t>
      </w:r>
      <w:r>
        <w:rPr>
          <w:vertAlign w:val="superscript"/>
        </w:rPr>
        <w:footnoteReference w:id="2"/>
      </w:r>
      <w:r>
        <w:t xml:space="preserve"> rather than footnotes. These should be placed after the body text, but before the Bibliography section and numbered 1, 2, 3, and so on. Endnotes should also be formatted in 11-point Times New Roman.</w:t>
      </w:r>
    </w:p>
    <w:p w14:paraId="00000025" w14:textId="77777777" w:rsidR="00A11F30" w:rsidRDefault="00000000">
      <w:pPr>
        <w:pStyle w:val="Heading2"/>
      </w:pPr>
      <w:r>
        <w:lastRenderedPageBreak/>
        <w:t>Citations and References</w:t>
      </w:r>
    </w:p>
    <w:p w14:paraId="00000026" w14:textId="77777777" w:rsidR="00A11F30" w:rsidRDefault="00000000">
      <w:proofErr w:type="spellStart"/>
      <w:r>
        <w:t>DiGRA</w:t>
      </w:r>
      <w:proofErr w:type="spellEnd"/>
      <w:r>
        <w:t xml:space="preserve"> uses a simplified, slightly revised version of the Chicago citation system (see publication year placement, for example). In running text and endnotes, use a verbose parenthesis format (Author last names Publication-year) or (Author last names Publication year, Page/Chapter) to indicate your reference. If the authors’ name is mentioned in running text, use only the publication year in parentheses. Anderson (1992, 453) may or may not think this is a good idea, but it does not matter since this sentence is only included as an example. If a reference has three or more authors (Schwartz et al. 1995), use the name of the first author “et al.” in the reference. When citing several sources at once, authors’ names should be presented alphabetically, separating each reference with a semicolon. </w:t>
      </w:r>
      <w:proofErr w:type="spellStart"/>
      <w:r>
        <w:t>Organise</w:t>
      </w:r>
      <w:proofErr w:type="spellEnd"/>
      <w:r>
        <w:t xml:space="preserve"> the bibliography alphabetically by last name of the first author. See the bibliography towards the end of the template for examples.</w:t>
      </w:r>
    </w:p>
    <w:p w14:paraId="00000027" w14:textId="77777777" w:rsidR="00A11F30" w:rsidRDefault="00000000">
      <w:pPr>
        <w:pStyle w:val="Heading2"/>
      </w:pPr>
      <w:r>
        <w:t>Game References</w:t>
      </w:r>
    </w:p>
    <w:p w14:paraId="00000028" w14:textId="77777777" w:rsidR="00A11F30" w:rsidRDefault="00000000">
      <w:r>
        <w:t xml:space="preserve">Game titles should be </w:t>
      </w:r>
      <w:proofErr w:type="spellStart"/>
      <w:r>
        <w:t>italicised</w:t>
      </w:r>
      <w:proofErr w:type="spellEnd"/>
      <w:r>
        <w:t xml:space="preserve"> in the main text and reference list. Include the full game title when it first appears in the text, accompanied by the developer(s) and publication year in parentheses; e.g., </w:t>
      </w:r>
      <w:r>
        <w:rPr>
          <w:i/>
        </w:rPr>
        <w:t>World of Warcraft</w:t>
      </w:r>
      <w:r>
        <w:t xml:space="preserve"> (Blizzard 2004). Depending on the use of the game in the context of the article, you may also choose to refer to the principal designer(s), creator(s), and so on. The Bibliography section below provides examples of how to format game references – in general, you should follow this format as closely as possible:</w:t>
      </w:r>
    </w:p>
    <w:p w14:paraId="00000029" w14:textId="77777777" w:rsidR="00A11F30" w:rsidRDefault="00000000">
      <w:r>
        <w:t xml:space="preserve">Developers/designers. Year. </w:t>
      </w:r>
      <w:r>
        <w:rPr>
          <w:i/>
          <w:sz w:val="24"/>
          <w:szCs w:val="24"/>
        </w:rPr>
        <w:t>Title</w:t>
      </w:r>
      <w:r>
        <w:t>. Platform, Version. Release City, State, Country: Publisher.</w:t>
      </w:r>
    </w:p>
    <w:p w14:paraId="0000002A" w14:textId="77777777" w:rsidR="00A11F30" w:rsidRDefault="00000000">
      <w:pPr>
        <w:pStyle w:val="Heading1"/>
      </w:pPr>
      <w:r>
        <w:t>LANGUAGE AND STYLE</w:t>
      </w:r>
    </w:p>
    <w:p w14:paraId="0000002B" w14:textId="77777777" w:rsidR="00A11F30" w:rsidRDefault="00000000">
      <w:r>
        <w:t xml:space="preserve">The written and spoken language of the </w:t>
      </w:r>
      <w:proofErr w:type="spellStart"/>
      <w:r>
        <w:t>DiGRA</w:t>
      </w:r>
      <w:proofErr w:type="spellEnd"/>
      <w:r>
        <w:t xml:space="preserve"> conference is English. Spelling and punctuation may use any English dialect (e.g., British, Canadian, US, etc.) provided </w:t>
      </w:r>
      <w:r>
        <w:lastRenderedPageBreak/>
        <w:t xml:space="preserve">this is done consistently. To ensure suitability for an international audience, please pay attention to the following: </w:t>
      </w:r>
    </w:p>
    <w:p w14:paraId="0000002C" w14:textId="77777777" w:rsidR="00A11F30" w:rsidRDefault="00000000">
      <w:pPr>
        <w:numPr>
          <w:ilvl w:val="0"/>
          <w:numId w:val="1"/>
        </w:numPr>
        <w:pBdr>
          <w:top w:val="nil"/>
          <w:left w:val="nil"/>
          <w:bottom w:val="nil"/>
          <w:right w:val="nil"/>
          <w:between w:val="nil"/>
        </w:pBdr>
        <w:spacing w:after="120"/>
        <w:rPr>
          <w:color w:val="000000"/>
        </w:rPr>
      </w:pPr>
      <w:r>
        <w:rPr>
          <w:color w:val="000000"/>
        </w:rPr>
        <w:t xml:space="preserve">Write in a straightforward style. Try to avoid long or complex sentence structures. </w:t>
      </w:r>
    </w:p>
    <w:p w14:paraId="0000002D" w14:textId="77777777" w:rsidR="00A11F30" w:rsidRDefault="00000000">
      <w:pPr>
        <w:numPr>
          <w:ilvl w:val="0"/>
          <w:numId w:val="1"/>
        </w:numPr>
        <w:pBdr>
          <w:top w:val="nil"/>
          <w:left w:val="nil"/>
          <w:bottom w:val="nil"/>
          <w:right w:val="nil"/>
          <w:between w:val="nil"/>
        </w:pBdr>
        <w:spacing w:after="120"/>
        <w:rPr>
          <w:color w:val="000000"/>
        </w:rPr>
      </w:pPr>
      <w:r>
        <w:rPr>
          <w:color w:val="000000"/>
        </w:rPr>
        <w:t>Briefly define or explain all technical terms that may be unfamiliar to readers.</w:t>
      </w:r>
    </w:p>
    <w:p w14:paraId="0000002E" w14:textId="77777777" w:rsidR="00A11F30" w:rsidRDefault="00000000">
      <w:pPr>
        <w:numPr>
          <w:ilvl w:val="0"/>
          <w:numId w:val="1"/>
        </w:numPr>
        <w:pBdr>
          <w:top w:val="nil"/>
          <w:left w:val="nil"/>
          <w:bottom w:val="nil"/>
          <w:right w:val="nil"/>
          <w:between w:val="nil"/>
        </w:pBdr>
        <w:spacing w:after="120"/>
        <w:rPr>
          <w:color w:val="000000"/>
        </w:rPr>
      </w:pPr>
      <w:r>
        <w:rPr>
          <w:color w:val="000000"/>
        </w:rPr>
        <w:t>Explain all acronyms the first time they are used in your text; e.g., “Alternate Reality Game (ARG).”</w:t>
      </w:r>
    </w:p>
    <w:p w14:paraId="0000002F" w14:textId="77777777" w:rsidR="00A11F30" w:rsidRDefault="00000000">
      <w:pPr>
        <w:numPr>
          <w:ilvl w:val="0"/>
          <w:numId w:val="1"/>
        </w:numPr>
        <w:pBdr>
          <w:top w:val="nil"/>
          <w:left w:val="nil"/>
          <w:bottom w:val="nil"/>
          <w:right w:val="nil"/>
          <w:between w:val="nil"/>
        </w:pBdr>
        <w:spacing w:after="120"/>
        <w:rPr>
          <w:color w:val="000000"/>
        </w:rPr>
      </w:pPr>
      <w:r>
        <w:rPr>
          <w:color w:val="000000"/>
        </w:rPr>
        <w:t>Explain local references (e.g., many people do not know that a child in the first grade of school in the US is 6-7 years old).</w:t>
      </w:r>
    </w:p>
    <w:p w14:paraId="00000030" w14:textId="77777777" w:rsidR="00A11F30" w:rsidRDefault="00000000">
      <w:pPr>
        <w:numPr>
          <w:ilvl w:val="0"/>
          <w:numId w:val="1"/>
        </w:numPr>
        <w:pBdr>
          <w:top w:val="nil"/>
          <w:left w:val="nil"/>
          <w:bottom w:val="nil"/>
          <w:right w:val="nil"/>
          <w:between w:val="nil"/>
        </w:pBdr>
        <w:spacing w:after="120"/>
        <w:rPr>
          <w:color w:val="000000"/>
        </w:rPr>
      </w:pPr>
      <w:r>
        <w:rPr>
          <w:color w:val="000000"/>
        </w:rPr>
        <w:t>Explain “insider” comments. Ensure that your whole audience understands any reference whose meaning you do not describe (and do not assume that everyone has read a particular article).</w:t>
      </w:r>
    </w:p>
    <w:p w14:paraId="00000031" w14:textId="77777777" w:rsidR="00A11F30" w:rsidRDefault="00000000">
      <w:pPr>
        <w:numPr>
          <w:ilvl w:val="0"/>
          <w:numId w:val="1"/>
        </w:numPr>
        <w:pBdr>
          <w:top w:val="nil"/>
          <w:left w:val="nil"/>
          <w:bottom w:val="nil"/>
          <w:right w:val="nil"/>
          <w:between w:val="nil"/>
        </w:pBdr>
        <w:spacing w:after="120"/>
        <w:rPr>
          <w:color w:val="000000"/>
        </w:rPr>
      </w:pPr>
      <w:r>
        <w:rPr>
          <w:color w:val="000000"/>
        </w:rPr>
        <w:t>Avoid or explain colloquial language and puns. Humor and irony are difficult to translate.</w:t>
      </w:r>
    </w:p>
    <w:p w14:paraId="00000032" w14:textId="77777777" w:rsidR="00A11F30" w:rsidRDefault="00000000">
      <w:pPr>
        <w:numPr>
          <w:ilvl w:val="0"/>
          <w:numId w:val="1"/>
        </w:numPr>
        <w:pBdr>
          <w:top w:val="nil"/>
          <w:left w:val="nil"/>
          <w:bottom w:val="nil"/>
          <w:right w:val="nil"/>
          <w:between w:val="nil"/>
        </w:pBdr>
        <w:spacing w:after="120"/>
        <w:rPr>
          <w:color w:val="000000"/>
        </w:rPr>
      </w:pPr>
      <w:r>
        <w:rPr>
          <w:color w:val="000000"/>
        </w:rPr>
        <w:t xml:space="preserve">Use unambiguous forms for culturally </w:t>
      </w:r>
      <w:proofErr w:type="spellStart"/>
      <w:r>
        <w:rPr>
          <w:color w:val="000000"/>
        </w:rPr>
        <w:t>localised</w:t>
      </w:r>
      <w:proofErr w:type="spellEnd"/>
      <w:r>
        <w:rPr>
          <w:color w:val="000000"/>
        </w:rPr>
        <w:t xml:space="preserve"> concepts, such as times, dates, currencies, and numbers (e.g., “1-5- 97” or “5/1/97” may mean 5 January or 1 May, and “seven o’clock” may mean 7:00 am or 19:00). For small currencies, indicate equivalences in Euro or Australian Dollar – e.g., “Participants were paid 10,000 lire, or roughly $AUD 5.”</w:t>
      </w:r>
    </w:p>
    <w:p w14:paraId="00000033" w14:textId="77777777" w:rsidR="00A11F30" w:rsidRDefault="00000000">
      <w:pPr>
        <w:numPr>
          <w:ilvl w:val="0"/>
          <w:numId w:val="1"/>
        </w:numPr>
        <w:pBdr>
          <w:top w:val="nil"/>
          <w:left w:val="nil"/>
          <w:bottom w:val="nil"/>
          <w:right w:val="nil"/>
          <w:between w:val="nil"/>
        </w:pBdr>
        <w:spacing w:after="120"/>
        <w:rPr>
          <w:color w:val="000000"/>
        </w:rPr>
      </w:pPr>
      <w:r>
        <w:rPr>
          <w:color w:val="000000"/>
        </w:rPr>
        <w:t>You should avoid using gender-specific pronouns (he, she) and other gendered words (chairman, manpower, man-months). Use inclusive and gender-neutral language instead (e.g., they, chair, staff, staff-hours, person-years).</w:t>
      </w:r>
    </w:p>
    <w:p w14:paraId="00000034" w14:textId="77777777" w:rsidR="00A11F30" w:rsidRDefault="00000000">
      <w:pPr>
        <w:numPr>
          <w:ilvl w:val="0"/>
          <w:numId w:val="1"/>
        </w:numPr>
        <w:pBdr>
          <w:top w:val="nil"/>
          <w:left w:val="nil"/>
          <w:bottom w:val="nil"/>
          <w:right w:val="nil"/>
          <w:between w:val="nil"/>
        </w:pBdr>
        <w:spacing w:after="120"/>
        <w:rPr>
          <w:color w:val="000000"/>
        </w:rPr>
      </w:pPr>
      <w:r>
        <w:rPr>
          <w:color w:val="000000"/>
        </w:rPr>
        <w:t xml:space="preserve">Use the full (extended) alphabetic character set for names of persons, institutions, and places (e.g., Grønbæk, </w:t>
      </w:r>
      <w:proofErr w:type="spellStart"/>
      <w:r>
        <w:rPr>
          <w:color w:val="000000"/>
        </w:rPr>
        <w:t>Lafreniére</w:t>
      </w:r>
      <w:proofErr w:type="spellEnd"/>
      <w:r>
        <w:rPr>
          <w:color w:val="000000"/>
        </w:rPr>
        <w:t xml:space="preserve">, Sánchez, Universität, </w:t>
      </w:r>
      <w:proofErr w:type="spellStart"/>
      <w:r>
        <w:rPr>
          <w:color w:val="000000"/>
        </w:rPr>
        <w:t>Weißenbach</w:t>
      </w:r>
      <w:proofErr w:type="spellEnd"/>
      <w:r>
        <w:rPr>
          <w:color w:val="000000"/>
        </w:rPr>
        <w:t xml:space="preserve">, </w:t>
      </w:r>
      <w:proofErr w:type="spellStart"/>
      <w:r>
        <w:rPr>
          <w:color w:val="000000"/>
        </w:rPr>
        <w:t>Züllighoven</w:t>
      </w:r>
      <w:proofErr w:type="spellEnd"/>
      <w:r>
        <w:rPr>
          <w:color w:val="000000"/>
        </w:rPr>
        <w:t xml:space="preserve">, </w:t>
      </w:r>
      <w:proofErr w:type="spellStart"/>
      <w:r>
        <w:rPr>
          <w:color w:val="000000"/>
        </w:rPr>
        <w:t>Århus</w:t>
      </w:r>
      <w:proofErr w:type="spellEnd"/>
      <w:r>
        <w:rPr>
          <w:color w:val="000000"/>
        </w:rPr>
        <w:t>, etc.). Avoid using non-</w:t>
      </w:r>
      <w:proofErr w:type="spellStart"/>
      <w:r>
        <w:rPr>
          <w:color w:val="000000"/>
        </w:rPr>
        <w:t>latin</w:t>
      </w:r>
      <w:proofErr w:type="spellEnd"/>
      <w:r>
        <w:rPr>
          <w:color w:val="000000"/>
        </w:rPr>
        <w:t xml:space="preserve"> alphabets for concepts and names. Make sure to include </w:t>
      </w:r>
      <w:proofErr w:type="spellStart"/>
      <w:r>
        <w:rPr>
          <w:color w:val="000000"/>
        </w:rPr>
        <w:t>latin</w:t>
      </w:r>
      <w:proofErr w:type="spellEnd"/>
      <w:r>
        <w:rPr>
          <w:color w:val="000000"/>
        </w:rPr>
        <w:t xml:space="preserve"> transcriptions if this is necessary.</w:t>
      </w:r>
    </w:p>
    <w:p w14:paraId="00000035" w14:textId="77777777" w:rsidR="00A11F30" w:rsidRDefault="00000000">
      <w:pPr>
        <w:numPr>
          <w:ilvl w:val="0"/>
          <w:numId w:val="1"/>
        </w:numPr>
        <w:pBdr>
          <w:top w:val="nil"/>
          <w:left w:val="nil"/>
          <w:bottom w:val="nil"/>
          <w:right w:val="nil"/>
          <w:between w:val="nil"/>
        </w:pBdr>
        <w:spacing w:after="120"/>
        <w:rPr>
          <w:color w:val="000000"/>
        </w:rPr>
      </w:pPr>
      <w:r>
        <w:rPr>
          <w:color w:val="000000"/>
        </w:rPr>
        <w:t>Clarify your context. Do not expect that readers know which region/country you are writing about, or where a specific city is. Explain, for example, where your fieldwork was done (e.g. “This study focuses on players in Australia”).</w:t>
      </w:r>
    </w:p>
    <w:sectPr w:rsidR="00A11F30">
      <w:headerReference w:type="even" r:id="rId10"/>
      <w:headerReference w:type="default" r:id="rId11"/>
      <w:footerReference w:type="even" r:id="rId12"/>
      <w:footerReference w:type="default" r:id="rId13"/>
      <w:footerReference w:type="first" r:id="rId14"/>
      <w:pgSz w:w="11900" w:h="16820"/>
      <w:pgMar w:top="1440" w:right="2155" w:bottom="1440" w:left="2155"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437997" w14:textId="77777777" w:rsidR="00DA5B01" w:rsidRDefault="00DA5B01">
      <w:pPr>
        <w:spacing w:after="0"/>
      </w:pPr>
      <w:r>
        <w:separator/>
      </w:r>
    </w:p>
  </w:endnote>
  <w:endnote w:type="continuationSeparator" w:id="0">
    <w:p w14:paraId="478382A6" w14:textId="77777777" w:rsidR="00DA5B01" w:rsidRDefault="00DA5B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charset w:val="00"/>
    <w:family w:val="auto"/>
    <w:pitch w:val="default"/>
    <w:embedRegular r:id="rId1" w:fontKey="{5F792E1D-D142-4745-B6AB-94DEAABCA63E}"/>
  </w:font>
  <w:font w:name="Courier New">
    <w:panose1 w:val="02070309020205020404"/>
    <w:charset w:val="00"/>
    <w:family w:val="modern"/>
    <w:pitch w:val="fixed"/>
    <w:sig w:usb0="E0002AFF" w:usb1="C0007843" w:usb2="00000009" w:usb3="00000000" w:csb0="000001FF" w:csb1="00000000"/>
    <w:embedRegular r:id="rId2" w:fontKey="{B3B9535A-532F-384C-AD35-B112B305A25E}"/>
  </w:font>
  <w:font w:name="Times New Roman">
    <w:panose1 w:val="02020603050405020304"/>
    <w:charset w:val="00"/>
    <w:family w:val="roman"/>
    <w:pitch w:val="variable"/>
    <w:sig w:usb0="E0002EFF" w:usb1="C000785B" w:usb2="00000009" w:usb3="00000000" w:csb0="000001FF" w:csb1="00000000"/>
    <w:embedRegular r:id="rId3" w:fontKey="{9FF0D747-0EDB-9244-9AD0-3428794A2819}"/>
    <w:embedBold r:id="rId4" w:fontKey="{EFAE24E0-A0B7-F344-ADC0-FC865F0E61BB}"/>
    <w:embedItalic r:id="rId5" w:fontKey="{A7021265-0828-A143-8578-B8714B84B846}"/>
  </w:font>
  <w:font w:name="Arial">
    <w:panose1 w:val="020B0604020202020204"/>
    <w:charset w:val="00"/>
    <w:family w:val="swiss"/>
    <w:pitch w:val="variable"/>
    <w:sig w:usb0="E0002AFF" w:usb1="C0007843" w:usb2="00000009" w:usb3="00000000" w:csb0="000001FF" w:csb1="00000000"/>
    <w:embedRegular r:id="rId6" w:fontKey="{F2DA8253-B58F-854F-92D9-99E942D72680}"/>
    <w:embedBold r:id="rId7" w:fontKey="{CFFD3ECF-83FF-C943-AB8D-6842C68055B1}"/>
    <w:embedItalic r:id="rId8" w:fontKey="{42DB9514-6A31-CD41-8CE4-771ECF80B97A}"/>
  </w:font>
  <w:font w:name="Times">
    <w:altName w:val="Times New Roman"/>
    <w:panose1 w:val="00000500000000020000"/>
    <w:charset w:val="00"/>
    <w:family w:val="auto"/>
    <w:pitch w:val="default"/>
  </w:font>
  <w:font w:name="Georgia">
    <w:panose1 w:val="02040502050405020303"/>
    <w:charset w:val="00"/>
    <w:family w:val="roman"/>
    <w:pitch w:val="variable"/>
    <w:sig w:usb0="00000287" w:usb1="00000000" w:usb2="00000000" w:usb3="00000000" w:csb0="0000009F" w:csb1="00000000"/>
    <w:embedRegular r:id="rId11" w:fontKey="{692A6A4B-C0C8-3D45-B93D-E8A0BA414025}"/>
    <w:embedItalic r:id="rId12" w:fontKey="{D372640A-9028-1948-9588-C6C46A388769}"/>
  </w:font>
  <w:font w:name="Calibri">
    <w:panose1 w:val="020F0502020204030204"/>
    <w:charset w:val="00"/>
    <w:family w:val="swiss"/>
    <w:pitch w:val="variable"/>
    <w:sig w:usb0="E4002EFF" w:usb1="C200247B" w:usb2="00000009" w:usb3="00000000" w:csb0="000001FF" w:csb1="00000000"/>
    <w:embedRegular r:id="rId13" w:fontKey="{8CF120E8-503D-CE4D-A47D-26066E5B8942}"/>
  </w:font>
  <w:font w:name="Cambria">
    <w:panose1 w:val="02040503050406030204"/>
    <w:charset w:val="00"/>
    <w:family w:val="roman"/>
    <w:pitch w:val="variable"/>
    <w:sig w:usb0="E00006FF" w:usb1="420024FF" w:usb2="02000000" w:usb3="00000000" w:csb0="0000019F" w:csb1="00000000"/>
    <w:embedRegular r:id="rId14" w:fontKey="{7D8B3707-00F3-F04F-8FF1-6AE7A44728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4F" w14:textId="77777777" w:rsidR="00A11F30" w:rsidRDefault="00000000">
    <w:pPr>
      <w:jc w:val="center"/>
    </w:pPr>
    <w:r>
      <w:fldChar w:fldCharType="begin"/>
    </w:r>
    <w:r>
      <w:instrText>PAGE</w:instrText>
    </w:r>
    <w:r>
      <w:fldChar w:fldCharType="separate"/>
    </w:r>
    <w:r>
      <w:fldChar w:fldCharType="end"/>
    </w:r>
  </w:p>
  <w:p w14:paraId="00000050" w14:textId="77777777" w:rsidR="00A11F30" w:rsidRDefault="00A11F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51" w14:textId="6A87BD68" w:rsidR="00A11F30" w:rsidRDefault="00000000">
    <w:r>
      <w:t xml:space="preserve">-- </w:t>
    </w:r>
    <w:r>
      <w:fldChar w:fldCharType="begin"/>
    </w:r>
    <w:r>
      <w:instrText>PAGE</w:instrText>
    </w:r>
    <w:r>
      <w:fldChar w:fldCharType="separate"/>
    </w:r>
    <w:r w:rsidR="00BC35CE">
      <w:rPr>
        <w:noProof/>
      </w:rPr>
      <w:t>2</w:t>
    </w:r>
    <w:r>
      <w:fldChar w:fldCharType="end"/>
    </w:r>
    <w:r>
      <w:t xml:space="preserve">  --</w:t>
    </w:r>
  </w:p>
  <w:p w14:paraId="00000052" w14:textId="77777777" w:rsidR="00A11F30" w:rsidRDefault="00A11F30">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4D" w14:textId="68F7FB99" w:rsidR="00A11F30" w:rsidRDefault="00000000">
    <w:pPr>
      <w:pBdr>
        <w:top w:val="single" w:sz="4" w:space="3" w:color="000000"/>
        <w:left w:val="single" w:sz="4" w:space="3" w:color="000000"/>
        <w:bottom w:val="single" w:sz="4" w:space="3" w:color="000000"/>
        <w:right w:val="single" w:sz="4" w:space="3" w:color="000000"/>
      </w:pBdr>
      <w:spacing w:before="120"/>
      <w:ind w:left="60" w:right="60"/>
      <w:jc w:val="center"/>
      <w:rPr>
        <w:sz w:val="18"/>
        <w:szCs w:val="18"/>
      </w:rPr>
    </w:pPr>
    <w:r>
      <w:rPr>
        <w:b/>
        <w:sz w:val="18"/>
        <w:szCs w:val="18"/>
      </w:rPr>
      <w:t xml:space="preserve">Proceedings of </w:t>
    </w:r>
    <w:proofErr w:type="spellStart"/>
    <w:r>
      <w:rPr>
        <w:b/>
        <w:sz w:val="18"/>
        <w:szCs w:val="18"/>
      </w:rPr>
      <w:t>DiGRA</w:t>
    </w:r>
    <w:proofErr w:type="spellEnd"/>
    <w:r>
      <w:rPr>
        <w:b/>
        <w:sz w:val="18"/>
        <w:szCs w:val="18"/>
      </w:rPr>
      <w:t xml:space="preserve"> Australia 202</w:t>
    </w:r>
    <w:r w:rsidR="00BC35CE">
      <w:rPr>
        <w:b/>
        <w:sz w:val="18"/>
        <w:szCs w:val="18"/>
      </w:rPr>
      <w:t>7</w:t>
    </w:r>
  </w:p>
  <w:p w14:paraId="0000004E" w14:textId="0EE22E48" w:rsidR="00A11F30" w:rsidRDefault="00000000">
    <w:pPr>
      <w:pBdr>
        <w:top w:val="single" w:sz="4" w:space="3" w:color="000000"/>
        <w:left w:val="single" w:sz="4" w:space="3" w:color="000000"/>
        <w:bottom w:val="single" w:sz="4" w:space="3" w:color="000000"/>
        <w:right w:val="single" w:sz="4" w:space="3" w:color="000000"/>
      </w:pBdr>
      <w:ind w:left="60" w:right="60"/>
      <w:rPr>
        <w:sz w:val="18"/>
        <w:szCs w:val="18"/>
      </w:rPr>
    </w:pPr>
    <w:r>
      <w:rPr>
        <w:sz w:val="18"/>
        <w:szCs w:val="18"/>
      </w:rPr>
      <w:t>© 202</w:t>
    </w:r>
    <w:r w:rsidR="00BC35CE">
      <w:rPr>
        <w:sz w:val="18"/>
        <w:szCs w:val="18"/>
      </w:rPr>
      <w:t>7</w:t>
    </w:r>
    <w:r>
      <w:rPr>
        <w:sz w:val="18"/>
        <w:szCs w:val="18"/>
      </w:rPr>
      <w:t xml:space="preserve"> Authors &amp; Digital Games Research Association </w:t>
    </w:r>
    <w:proofErr w:type="spellStart"/>
    <w:r>
      <w:rPr>
        <w:sz w:val="18"/>
        <w:szCs w:val="18"/>
      </w:rPr>
      <w:t>DiGRA</w:t>
    </w:r>
    <w:proofErr w:type="spellEnd"/>
    <w:r>
      <w:rPr>
        <w:sz w:val="18"/>
        <w:szCs w:val="18"/>
      </w:rPr>
      <w:t xml:space="preserve">. Personal and educational classroom use of this paper is </w:t>
    </w:r>
    <w:proofErr w:type="gramStart"/>
    <w:r>
      <w:rPr>
        <w:sz w:val="18"/>
        <w:szCs w:val="18"/>
      </w:rPr>
      <w:t>allowed,</w:t>
    </w:r>
    <w:proofErr w:type="gramEnd"/>
    <w:r>
      <w:rPr>
        <w:sz w:val="18"/>
        <w:szCs w:val="18"/>
      </w:rPr>
      <w:t xml:space="preserve"> commercial use requires specific permission from the author.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19E338" w14:textId="77777777" w:rsidR="00DA5B01" w:rsidRDefault="00DA5B01">
      <w:pPr>
        <w:spacing w:after="0"/>
      </w:pPr>
      <w:r>
        <w:separator/>
      </w:r>
    </w:p>
  </w:footnote>
  <w:footnote w:type="continuationSeparator" w:id="0">
    <w:p w14:paraId="40E5B8D1" w14:textId="77777777" w:rsidR="00DA5B01" w:rsidRDefault="00DA5B01">
      <w:pPr>
        <w:spacing w:after="0"/>
      </w:pPr>
      <w:r>
        <w:continuationSeparator/>
      </w:r>
    </w:p>
  </w:footnote>
  <w:footnote w:id="1">
    <w:p w14:paraId="00000036" w14:textId="44803115" w:rsidR="00A11F30" w:rsidRDefault="00000000">
      <w:r>
        <w:rPr>
          <w:vertAlign w:val="superscript"/>
        </w:rPr>
        <w:footnoteRef/>
      </w:r>
      <w:r>
        <w:t xml:space="preserve"> The format was developed for </w:t>
      </w:r>
      <w:proofErr w:type="spellStart"/>
      <w:r>
        <w:t>DiGRA</w:t>
      </w:r>
      <w:proofErr w:type="spellEnd"/>
      <w:r>
        <w:t xml:space="preserve"> 2011, modified slightly for </w:t>
      </w:r>
      <w:proofErr w:type="spellStart"/>
      <w:r>
        <w:t>DiGRA</w:t>
      </w:r>
      <w:proofErr w:type="spellEnd"/>
      <w:r>
        <w:t xml:space="preserve"> Nordic 2012 and then again for </w:t>
      </w:r>
      <w:proofErr w:type="spellStart"/>
      <w:r>
        <w:t>DiGRA</w:t>
      </w:r>
      <w:proofErr w:type="spellEnd"/>
      <w:r>
        <w:t xml:space="preserve"> 2014, </w:t>
      </w:r>
      <w:proofErr w:type="spellStart"/>
      <w:r>
        <w:t>DiGRA</w:t>
      </w:r>
      <w:proofErr w:type="spellEnd"/>
      <w:r>
        <w:t xml:space="preserve"> 2017, </w:t>
      </w:r>
      <w:proofErr w:type="spellStart"/>
      <w:r>
        <w:t>DiGRA</w:t>
      </w:r>
      <w:proofErr w:type="spellEnd"/>
      <w:r>
        <w:t xml:space="preserve"> 2018, </w:t>
      </w:r>
      <w:proofErr w:type="spellStart"/>
      <w:r>
        <w:t>DiGRA</w:t>
      </w:r>
      <w:proofErr w:type="spellEnd"/>
      <w:r>
        <w:t xml:space="preserve"> 2019, </w:t>
      </w:r>
      <w:proofErr w:type="spellStart"/>
      <w:r>
        <w:t>DiGRA</w:t>
      </w:r>
      <w:proofErr w:type="spellEnd"/>
      <w:r>
        <w:t xml:space="preserve"> Australia 2024</w:t>
      </w:r>
      <w:r w:rsidR="001230EF">
        <w:t xml:space="preserve">, </w:t>
      </w:r>
      <w:proofErr w:type="spellStart"/>
      <w:r>
        <w:t>DiGRA</w:t>
      </w:r>
      <w:proofErr w:type="spellEnd"/>
      <w:r>
        <w:t xml:space="preserve"> Australia 2025</w:t>
      </w:r>
      <w:r w:rsidR="001230EF">
        <w:t xml:space="preserve"> and </w:t>
      </w:r>
      <w:proofErr w:type="spellStart"/>
      <w:r w:rsidR="001230EF">
        <w:t>DiGR</w:t>
      </w:r>
      <w:r w:rsidR="00A8436C">
        <w:t>A</w:t>
      </w:r>
      <w:proofErr w:type="spellEnd"/>
      <w:r w:rsidR="001230EF">
        <w:t xml:space="preserve"> Australia 2026</w:t>
      </w:r>
      <w:r>
        <w:t>.</w:t>
      </w:r>
    </w:p>
  </w:footnote>
  <w:footnote w:id="2">
    <w:p w14:paraId="00000037" w14:textId="77777777" w:rsidR="00A11F30" w:rsidRDefault="00000000">
      <w:r>
        <w:rPr>
          <w:vertAlign w:val="superscript"/>
        </w:rPr>
        <w:footnoteRef/>
      </w:r>
      <w:r>
        <w:t xml:space="preserve"> This is another example of an endnote.</w:t>
      </w:r>
    </w:p>
    <w:p w14:paraId="00000038" w14:textId="77777777" w:rsidR="00A11F30" w:rsidRDefault="00000000">
      <w:pPr>
        <w:pStyle w:val="Heading1"/>
      </w:pPr>
      <w:r>
        <w:t>BIBLIOGRAPHY</w:t>
      </w:r>
    </w:p>
    <w:p w14:paraId="00000039" w14:textId="77777777" w:rsidR="00A11F30" w:rsidRDefault="00000000">
      <w:pPr>
        <w:pBdr>
          <w:top w:val="nil"/>
          <w:left w:val="nil"/>
          <w:bottom w:val="nil"/>
          <w:right w:val="nil"/>
          <w:between w:val="nil"/>
        </w:pBdr>
        <w:tabs>
          <w:tab w:val="left" w:pos="9072"/>
        </w:tabs>
        <w:spacing w:after="120"/>
        <w:ind w:left="346" w:hanging="346"/>
        <w:rPr>
          <w:color w:val="000000"/>
        </w:rPr>
      </w:pPr>
      <w:r>
        <w:rPr>
          <w:color w:val="000000"/>
        </w:rPr>
        <w:t xml:space="preserve">Make sure all references in your bibliography are </w:t>
      </w:r>
      <w:proofErr w:type="gramStart"/>
      <w:r>
        <w:rPr>
          <w:color w:val="000000"/>
        </w:rPr>
        <w:t>actually cited</w:t>
      </w:r>
      <w:proofErr w:type="gramEnd"/>
      <w:r>
        <w:rPr>
          <w:color w:val="000000"/>
        </w:rPr>
        <w:t xml:space="preserve"> in the text. Also check that all references are included in the bibliography. In this template, we have included several references as examples only.</w:t>
      </w:r>
    </w:p>
    <w:p w14:paraId="0000003A" w14:textId="77777777" w:rsidR="00A11F30" w:rsidRDefault="00000000">
      <w:pPr>
        <w:pBdr>
          <w:top w:val="nil"/>
          <w:left w:val="nil"/>
          <w:bottom w:val="nil"/>
          <w:right w:val="nil"/>
          <w:between w:val="nil"/>
        </w:pBdr>
        <w:tabs>
          <w:tab w:val="left" w:pos="9072"/>
        </w:tabs>
        <w:spacing w:after="120"/>
        <w:ind w:left="346" w:hanging="346"/>
        <w:rPr>
          <w:color w:val="000000"/>
        </w:rPr>
      </w:pPr>
      <w:r>
        <w:rPr>
          <w:color w:val="000000"/>
        </w:rPr>
        <w:t xml:space="preserve">Blizzard Entertainment. 2004. </w:t>
      </w:r>
      <w:r>
        <w:rPr>
          <w:i/>
          <w:color w:val="000000"/>
        </w:rPr>
        <w:t>World of Warcraft.</w:t>
      </w:r>
      <w:r>
        <w:rPr>
          <w:color w:val="000000"/>
        </w:rPr>
        <w:t xml:space="preserve"> Online Game. Blizzard Entertainment.</w:t>
      </w:r>
    </w:p>
    <w:p w14:paraId="0000003B" w14:textId="77777777" w:rsidR="00A11F30" w:rsidRDefault="00000000">
      <w:pPr>
        <w:pBdr>
          <w:top w:val="nil"/>
          <w:left w:val="nil"/>
          <w:bottom w:val="nil"/>
          <w:right w:val="nil"/>
          <w:between w:val="nil"/>
        </w:pBdr>
        <w:tabs>
          <w:tab w:val="left" w:pos="9072"/>
        </w:tabs>
        <w:spacing w:after="120"/>
        <w:ind w:left="346" w:hanging="346"/>
        <w:rPr>
          <w:color w:val="000000"/>
        </w:rPr>
      </w:pPr>
      <w:r>
        <w:rPr>
          <w:color w:val="000000"/>
        </w:rPr>
        <w:t xml:space="preserve">Blizzard Entertainment. 2011. </w:t>
      </w:r>
      <w:r>
        <w:rPr>
          <w:i/>
          <w:color w:val="000000"/>
        </w:rPr>
        <w:t>World of Warcraft: Cataclysm, Patch 4.2, Rage of the Firelands.</w:t>
      </w:r>
      <w:r>
        <w:rPr>
          <w:color w:val="000000"/>
        </w:rPr>
        <w:t xml:space="preserve"> Online game. Blizzard Entertainment. </w:t>
      </w:r>
    </w:p>
    <w:p w14:paraId="0000003C" w14:textId="77777777" w:rsidR="00A11F30" w:rsidRDefault="00000000">
      <w:pPr>
        <w:pBdr>
          <w:top w:val="nil"/>
          <w:left w:val="nil"/>
          <w:bottom w:val="nil"/>
          <w:right w:val="nil"/>
          <w:between w:val="nil"/>
        </w:pBdr>
        <w:tabs>
          <w:tab w:val="left" w:pos="9072"/>
        </w:tabs>
        <w:spacing w:after="120"/>
        <w:ind w:left="346" w:hanging="346"/>
        <w:rPr>
          <w:color w:val="000000"/>
        </w:rPr>
      </w:pPr>
      <w:r>
        <w:rPr>
          <w:color w:val="000000"/>
        </w:rPr>
        <w:t xml:space="preserve">Butt, M. 2022. </w:t>
      </w:r>
      <w:r>
        <w:rPr>
          <w:i/>
          <w:color w:val="000000"/>
        </w:rPr>
        <w:t xml:space="preserve">Gaming </w:t>
      </w:r>
      <w:proofErr w:type="spellStart"/>
      <w:r>
        <w:rPr>
          <w:i/>
          <w:color w:val="000000"/>
        </w:rPr>
        <w:t>Lifeworlds</w:t>
      </w:r>
      <w:proofErr w:type="spellEnd"/>
      <w:r>
        <w:rPr>
          <w:i/>
          <w:color w:val="000000"/>
        </w:rPr>
        <w:t>: Videogames in Culture</w:t>
      </w:r>
      <w:r>
        <w:rPr>
          <w:color w:val="000000"/>
        </w:rPr>
        <w:t xml:space="preserve">. PhD Dissertation, the University of Sydney. </w:t>
      </w:r>
      <w:hyperlink r:id="rId1">
        <w:r>
          <w:rPr>
            <w:color w:val="0000FF"/>
            <w:u w:val="single"/>
          </w:rPr>
          <w:t>https://ses.library.usyd.edu.au/handle/2123/27979</w:t>
        </w:r>
      </w:hyperlink>
      <w:r>
        <w:rPr>
          <w:color w:val="000000"/>
        </w:rPr>
        <w:t xml:space="preserve"> </w:t>
      </w:r>
    </w:p>
    <w:p w14:paraId="0000003D" w14:textId="77777777" w:rsidR="00A11F30" w:rsidRDefault="00000000">
      <w:pPr>
        <w:pBdr>
          <w:top w:val="nil"/>
          <w:left w:val="nil"/>
          <w:bottom w:val="nil"/>
          <w:right w:val="nil"/>
          <w:between w:val="nil"/>
        </w:pBdr>
        <w:tabs>
          <w:tab w:val="left" w:pos="9072"/>
        </w:tabs>
        <w:spacing w:after="120"/>
        <w:ind w:left="346" w:hanging="346"/>
        <w:rPr>
          <w:color w:val="000000"/>
        </w:rPr>
      </w:pPr>
      <w:bookmarkStart w:id="1" w:name="_diks09ofgv0a" w:colFirst="0" w:colLast="0"/>
      <w:bookmarkEnd w:id="1"/>
      <w:r>
        <w:rPr>
          <w:color w:val="000000"/>
        </w:rPr>
        <w:t xml:space="preserve">Carter, M., Gibbs, M. and Arnold, M. 2015. The Demarcation Problem in Multiplayer Games: Boundary-Work in EVE </w:t>
      </w:r>
      <w:proofErr w:type="spellStart"/>
      <w:r>
        <w:rPr>
          <w:color w:val="000000"/>
        </w:rPr>
        <w:t>Online’s</w:t>
      </w:r>
      <w:proofErr w:type="spellEnd"/>
      <w:r>
        <w:rPr>
          <w:color w:val="000000"/>
        </w:rPr>
        <w:t xml:space="preserve"> eSport. </w:t>
      </w:r>
      <w:r>
        <w:rPr>
          <w:i/>
          <w:color w:val="000000"/>
        </w:rPr>
        <w:t>Game Studies</w:t>
      </w:r>
      <w:r>
        <w:rPr>
          <w:color w:val="000000"/>
        </w:rPr>
        <w:t xml:space="preserve"> 15, 1 (July). </w:t>
      </w:r>
      <w:hyperlink r:id="rId2">
        <w:r>
          <w:rPr>
            <w:color w:val="0000FF"/>
            <w:u w:val="single"/>
          </w:rPr>
          <w:t>http://gamestudies.org/1501/articles/carter</w:t>
        </w:r>
      </w:hyperlink>
      <w:r>
        <w:rPr>
          <w:color w:val="000000"/>
        </w:rPr>
        <w:t xml:space="preserve"> </w:t>
      </w:r>
    </w:p>
    <w:p w14:paraId="0000003E" w14:textId="77777777" w:rsidR="00A11F30" w:rsidRDefault="00000000">
      <w:pPr>
        <w:pBdr>
          <w:top w:val="nil"/>
          <w:left w:val="nil"/>
          <w:bottom w:val="nil"/>
          <w:right w:val="nil"/>
          <w:between w:val="nil"/>
        </w:pBdr>
        <w:tabs>
          <w:tab w:val="left" w:pos="9072"/>
        </w:tabs>
        <w:spacing w:after="120"/>
        <w:ind w:left="346" w:hanging="346"/>
        <w:rPr>
          <w:color w:val="000000"/>
        </w:rPr>
      </w:pPr>
      <w:r>
        <w:rPr>
          <w:color w:val="000000"/>
        </w:rPr>
        <w:t xml:space="preserve">CCP Games. 2003. </w:t>
      </w:r>
      <w:r>
        <w:rPr>
          <w:i/>
          <w:color w:val="000000"/>
        </w:rPr>
        <w:t>EVE Online</w:t>
      </w:r>
      <w:r>
        <w:rPr>
          <w:color w:val="000000"/>
        </w:rPr>
        <w:t>. Online Game. CCP Games.</w:t>
      </w:r>
    </w:p>
    <w:p w14:paraId="0000003F" w14:textId="77777777" w:rsidR="00A11F30" w:rsidRDefault="00000000">
      <w:pPr>
        <w:pBdr>
          <w:top w:val="nil"/>
          <w:left w:val="nil"/>
          <w:bottom w:val="nil"/>
          <w:right w:val="nil"/>
          <w:between w:val="nil"/>
        </w:pBdr>
        <w:tabs>
          <w:tab w:val="left" w:pos="9072"/>
        </w:tabs>
        <w:spacing w:after="120"/>
        <w:ind w:left="346" w:hanging="346"/>
        <w:rPr>
          <w:color w:val="000000"/>
        </w:rPr>
      </w:pPr>
      <w:r>
        <w:rPr>
          <w:color w:val="000000"/>
        </w:rPr>
        <w:t xml:space="preserve">Chung, P. 2015. “South Korea.” In </w:t>
      </w:r>
      <w:r>
        <w:rPr>
          <w:i/>
          <w:color w:val="000000"/>
        </w:rPr>
        <w:t>Video Games Around the World</w:t>
      </w:r>
      <w:r>
        <w:rPr>
          <w:color w:val="000000"/>
        </w:rPr>
        <w:t>, edited by M. Wolf, 495–520. Boston, MA: The MIT Press.</w:t>
      </w:r>
    </w:p>
    <w:p w14:paraId="00000040" w14:textId="77777777" w:rsidR="00A11F30" w:rsidRDefault="00000000">
      <w:pPr>
        <w:pBdr>
          <w:top w:val="nil"/>
          <w:left w:val="nil"/>
          <w:bottom w:val="nil"/>
          <w:right w:val="nil"/>
          <w:between w:val="nil"/>
        </w:pBdr>
        <w:tabs>
          <w:tab w:val="left" w:pos="9072"/>
        </w:tabs>
        <w:spacing w:after="120"/>
        <w:ind w:left="346" w:hanging="346"/>
        <w:rPr>
          <w:color w:val="000000"/>
        </w:rPr>
      </w:pPr>
      <w:r>
        <w:rPr>
          <w:color w:val="000000"/>
        </w:rPr>
        <w:t xml:space="preserve">Consalvo, M. 2007. </w:t>
      </w:r>
      <w:r>
        <w:rPr>
          <w:i/>
          <w:color w:val="000000"/>
        </w:rPr>
        <w:t>Cheating: Gaining Advantage in Videogames.</w:t>
      </w:r>
      <w:r>
        <w:rPr>
          <w:color w:val="000000"/>
        </w:rPr>
        <w:t xml:space="preserve"> Cambridge, MA, USA; London, England: The MIT Press.</w:t>
      </w:r>
    </w:p>
    <w:p w14:paraId="00000041" w14:textId="77777777" w:rsidR="00A11F30" w:rsidRDefault="00000000">
      <w:pPr>
        <w:pBdr>
          <w:top w:val="nil"/>
          <w:left w:val="nil"/>
          <w:bottom w:val="nil"/>
          <w:right w:val="nil"/>
          <w:between w:val="nil"/>
        </w:pBdr>
        <w:tabs>
          <w:tab w:val="left" w:pos="9072"/>
        </w:tabs>
        <w:spacing w:after="120"/>
        <w:ind w:left="346" w:hanging="346"/>
        <w:rPr>
          <w:color w:val="000000"/>
        </w:rPr>
      </w:pPr>
      <w:r>
        <w:rPr>
          <w:color w:val="000000"/>
        </w:rPr>
        <w:t xml:space="preserve">Games Workshop. 2012. </w:t>
      </w:r>
      <w:r>
        <w:rPr>
          <w:i/>
          <w:color w:val="000000"/>
        </w:rPr>
        <w:t>Warhammer 40,000</w:t>
      </w:r>
      <w:r>
        <w:rPr>
          <w:color w:val="000000"/>
        </w:rPr>
        <w:t>. Tabletop Game. Nottingham, UK: Games Workshop.</w:t>
      </w:r>
    </w:p>
    <w:p w14:paraId="00000042" w14:textId="77777777" w:rsidR="00A11F30" w:rsidRDefault="00000000">
      <w:pPr>
        <w:pBdr>
          <w:top w:val="nil"/>
          <w:left w:val="nil"/>
          <w:bottom w:val="nil"/>
          <w:right w:val="nil"/>
          <w:between w:val="nil"/>
        </w:pBdr>
        <w:tabs>
          <w:tab w:val="left" w:pos="9072"/>
        </w:tabs>
        <w:spacing w:after="120"/>
        <w:ind w:left="346" w:hanging="346"/>
        <w:rPr>
          <w:color w:val="000000"/>
        </w:rPr>
      </w:pPr>
      <w:r>
        <w:rPr>
          <w:color w:val="000000"/>
        </w:rPr>
        <w:t xml:space="preserve">Fullbright. 2013. </w:t>
      </w:r>
      <w:r>
        <w:rPr>
          <w:i/>
          <w:color w:val="000000"/>
        </w:rPr>
        <w:t>Gone Home</w:t>
      </w:r>
      <w:r>
        <w:rPr>
          <w:color w:val="000000"/>
        </w:rPr>
        <w:t>. PC game. Fullbright.</w:t>
      </w:r>
    </w:p>
    <w:p w14:paraId="00000043" w14:textId="77777777" w:rsidR="00A11F30" w:rsidRDefault="00000000">
      <w:pPr>
        <w:pBdr>
          <w:top w:val="nil"/>
          <w:left w:val="nil"/>
          <w:bottom w:val="nil"/>
          <w:right w:val="nil"/>
          <w:between w:val="nil"/>
        </w:pBdr>
        <w:tabs>
          <w:tab w:val="left" w:pos="9072"/>
        </w:tabs>
        <w:spacing w:after="120"/>
        <w:ind w:left="346" w:hanging="346"/>
        <w:rPr>
          <w:color w:val="000000"/>
        </w:rPr>
      </w:pPr>
      <w:r>
        <w:rPr>
          <w:color w:val="000000"/>
        </w:rPr>
        <w:t xml:space="preserve">Keogh, B. 2021. The </w:t>
      </w:r>
      <w:proofErr w:type="spellStart"/>
      <w:r>
        <w:rPr>
          <w:color w:val="000000"/>
        </w:rPr>
        <w:t>Cultrual</w:t>
      </w:r>
      <w:proofErr w:type="spellEnd"/>
      <w:r>
        <w:rPr>
          <w:color w:val="000000"/>
        </w:rPr>
        <w:t xml:space="preserve"> Field of Videogame Production in Australia. </w:t>
      </w:r>
      <w:r>
        <w:rPr>
          <w:i/>
          <w:color w:val="000000"/>
        </w:rPr>
        <w:t>Games and Culture</w:t>
      </w:r>
      <w:r>
        <w:rPr>
          <w:color w:val="000000"/>
        </w:rPr>
        <w:t xml:space="preserve"> 16, 1, 116–135. </w:t>
      </w:r>
      <w:hyperlink r:id="rId3">
        <w:r>
          <w:rPr>
            <w:color w:val="0000FF"/>
            <w:u w:val="single"/>
          </w:rPr>
          <w:t>https://doi.org/10.1177/1555412019873746</w:t>
        </w:r>
      </w:hyperlink>
      <w:r>
        <w:rPr>
          <w:color w:val="000000"/>
        </w:rPr>
        <w:t xml:space="preserve"> </w:t>
      </w:r>
    </w:p>
    <w:p w14:paraId="00000044" w14:textId="77777777" w:rsidR="00A11F30" w:rsidRDefault="00000000">
      <w:pPr>
        <w:pBdr>
          <w:top w:val="nil"/>
          <w:left w:val="nil"/>
          <w:bottom w:val="nil"/>
          <w:right w:val="nil"/>
          <w:between w:val="nil"/>
        </w:pBdr>
        <w:tabs>
          <w:tab w:val="left" w:pos="9072"/>
        </w:tabs>
        <w:spacing w:after="120"/>
        <w:ind w:left="346" w:hanging="346"/>
        <w:rPr>
          <w:color w:val="000000"/>
        </w:rPr>
      </w:pPr>
      <w:proofErr w:type="spellStart"/>
      <w:r>
        <w:rPr>
          <w:color w:val="000000"/>
        </w:rPr>
        <w:t>Nyhm</w:t>
      </w:r>
      <w:proofErr w:type="spellEnd"/>
      <w:r>
        <w:rPr>
          <w:color w:val="000000"/>
        </w:rPr>
        <w:t xml:space="preserve"> &amp; </w:t>
      </w:r>
      <w:proofErr w:type="spellStart"/>
      <w:r>
        <w:rPr>
          <w:color w:val="000000"/>
        </w:rPr>
        <w:t>Summergale</w:t>
      </w:r>
      <w:proofErr w:type="spellEnd"/>
      <w:r>
        <w:rPr>
          <w:color w:val="000000"/>
        </w:rPr>
        <w:t xml:space="preserve">. 2008. </w:t>
      </w:r>
      <w:r>
        <w:rPr>
          <w:i/>
          <w:color w:val="000000"/>
        </w:rPr>
        <w:t>In Memory</w:t>
      </w:r>
      <w:r>
        <w:rPr>
          <w:color w:val="000000"/>
        </w:rPr>
        <w:t xml:space="preserve">. Video. YouTube, 5 April. </w:t>
      </w:r>
      <w:hyperlink r:id="rId4">
        <w:r>
          <w:rPr>
            <w:color w:val="0000FF"/>
            <w:u w:val="single"/>
          </w:rPr>
          <w:t>https://www.youtube.com/watch?v=sWJ3qzk5kHo</w:t>
        </w:r>
      </w:hyperlink>
      <w:r>
        <w:rPr>
          <w:color w:val="000000"/>
        </w:rPr>
        <w:t xml:space="preserve"> </w:t>
      </w:r>
    </w:p>
    <w:p w14:paraId="00000045" w14:textId="77777777" w:rsidR="00A11F30" w:rsidRDefault="00000000">
      <w:pPr>
        <w:pBdr>
          <w:top w:val="nil"/>
          <w:left w:val="nil"/>
          <w:bottom w:val="nil"/>
          <w:right w:val="nil"/>
          <w:between w:val="nil"/>
        </w:pBdr>
        <w:tabs>
          <w:tab w:val="left" w:pos="9072"/>
        </w:tabs>
        <w:spacing w:after="120"/>
        <w:ind w:left="346" w:hanging="346"/>
        <w:rPr>
          <w:color w:val="000000"/>
        </w:rPr>
      </w:pPr>
      <w:bookmarkStart w:id="2" w:name="_g96k7vj14vc5" w:colFirst="0" w:colLast="0"/>
      <w:bookmarkEnd w:id="2"/>
      <w:r>
        <w:rPr>
          <w:color w:val="000000"/>
        </w:rPr>
        <w:t xml:space="preserve">Rogerson, M. J., Sparrow, L. A., &amp; Gibbs, M. R. 2021. “More Than a Gimmick – Digital Tools for Boardgame Play.” In </w:t>
      </w:r>
      <w:r>
        <w:rPr>
          <w:i/>
          <w:color w:val="000000"/>
        </w:rPr>
        <w:t>Proceedings of the ACM on Human-Computer Interaction</w:t>
      </w:r>
      <w:r>
        <w:rPr>
          <w:color w:val="000000"/>
        </w:rPr>
        <w:t xml:space="preserve">, 5 (CHI PLAY), Article 261. </w:t>
      </w:r>
      <w:hyperlink r:id="rId5">
        <w:r>
          <w:rPr>
            <w:color w:val="0000FF"/>
            <w:u w:val="single"/>
          </w:rPr>
          <w:t>https://doi.org/10.1145/3474688</w:t>
        </w:r>
      </w:hyperlink>
    </w:p>
    <w:p w14:paraId="00000046" w14:textId="77777777" w:rsidR="00A11F30" w:rsidRDefault="00000000">
      <w:pPr>
        <w:pBdr>
          <w:top w:val="nil"/>
          <w:left w:val="nil"/>
          <w:bottom w:val="nil"/>
          <w:right w:val="nil"/>
          <w:between w:val="nil"/>
        </w:pBdr>
        <w:tabs>
          <w:tab w:val="left" w:pos="9072"/>
        </w:tabs>
        <w:spacing w:after="120"/>
        <w:ind w:left="346" w:hanging="346"/>
        <w:rPr>
          <w:color w:val="000000"/>
        </w:rPr>
      </w:pPr>
      <w:r>
        <w:rPr>
          <w:color w:val="000000"/>
        </w:rPr>
        <w:t xml:space="preserve">Ruberg, B. &amp; Shaw, A., ed. 2017. </w:t>
      </w:r>
      <w:r>
        <w:rPr>
          <w:i/>
          <w:color w:val="000000"/>
        </w:rPr>
        <w:t>Queer Game Studies</w:t>
      </w:r>
      <w:r>
        <w:rPr>
          <w:color w:val="000000"/>
        </w:rPr>
        <w:t>. Minneapolis, MN, USA: Minnesota University Press.</w:t>
      </w:r>
    </w:p>
    <w:p w14:paraId="00000047" w14:textId="77777777" w:rsidR="00A11F30" w:rsidRDefault="00000000">
      <w:pPr>
        <w:pBdr>
          <w:top w:val="nil"/>
          <w:left w:val="nil"/>
          <w:bottom w:val="nil"/>
          <w:right w:val="nil"/>
          <w:between w:val="nil"/>
        </w:pBdr>
        <w:tabs>
          <w:tab w:val="left" w:pos="9072"/>
        </w:tabs>
        <w:spacing w:after="120"/>
        <w:ind w:left="346" w:hanging="346"/>
        <w:rPr>
          <w:color w:val="000000"/>
        </w:rPr>
      </w:pPr>
      <w:r>
        <w:rPr>
          <w:color w:val="000000"/>
        </w:rPr>
        <w:t xml:space="preserve">Seale, N., Wally Smith, W. &amp; Rogerson, M. J. 2023. “Gods and Greeks: a study of an immersive RPG in a museum setting.” In </w:t>
      </w:r>
      <w:r>
        <w:rPr>
          <w:i/>
          <w:color w:val="000000"/>
        </w:rPr>
        <w:t xml:space="preserve">Proceedings of the 2023 Digital Games Research Association of Australia Conference </w:t>
      </w:r>
      <w:r>
        <w:rPr>
          <w:color w:val="000000"/>
        </w:rPr>
        <w:t>(</w:t>
      </w:r>
      <w:proofErr w:type="spellStart"/>
      <w:r>
        <w:rPr>
          <w:color w:val="000000"/>
        </w:rPr>
        <w:t>DiGRAA</w:t>
      </w:r>
      <w:proofErr w:type="spellEnd"/>
      <w:r>
        <w:rPr>
          <w:color w:val="000000"/>
        </w:rPr>
        <w:t xml:space="preserve">). 6–7 </w:t>
      </w:r>
      <w:proofErr w:type="spellStart"/>
      <w:r>
        <w:rPr>
          <w:color w:val="000000"/>
        </w:rPr>
        <w:t>Feburary</w:t>
      </w:r>
      <w:proofErr w:type="spellEnd"/>
      <w:r>
        <w:rPr>
          <w:color w:val="000000"/>
        </w:rPr>
        <w:t>, Macquarie University, Sydney, Australia.</w:t>
      </w:r>
    </w:p>
    <w:p w14:paraId="00000048" w14:textId="77777777" w:rsidR="00A11F30" w:rsidRDefault="00000000">
      <w:pPr>
        <w:pBdr>
          <w:top w:val="nil"/>
          <w:left w:val="nil"/>
          <w:bottom w:val="nil"/>
          <w:right w:val="nil"/>
          <w:between w:val="nil"/>
        </w:pBdr>
        <w:tabs>
          <w:tab w:val="left" w:pos="9072"/>
        </w:tabs>
        <w:spacing w:after="120"/>
        <w:ind w:left="346" w:hanging="346"/>
        <w:rPr>
          <w:color w:val="000000"/>
        </w:rPr>
      </w:pPr>
      <w:proofErr w:type="spellStart"/>
      <w:r>
        <w:rPr>
          <w:color w:val="000000"/>
        </w:rPr>
        <w:t>Sidji</w:t>
      </w:r>
      <w:proofErr w:type="spellEnd"/>
      <w:r>
        <w:rPr>
          <w:color w:val="000000"/>
        </w:rPr>
        <w:t xml:space="preserve">, M., Smith, W., &amp; Rogerson, M. J. 2023. “The Hidden Rules of Hanabi: How Humans Outperform AI Agents.” In </w:t>
      </w:r>
      <w:r>
        <w:rPr>
          <w:i/>
          <w:color w:val="000000"/>
        </w:rPr>
        <w:t xml:space="preserve">Proceedings of the 2023 CHI Conference on Human Factors in Computing </w:t>
      </w:r>
      <w:r>
        <w:rPr>
          <w:color w:val="000000"/>
        </w:rPr>
        <w:t xml:space="preserve">Systems. </w:t>
      </w:r>
      <w:hyperlink r:id="rId6">
        <w:r>
          <w:rPr>
            <w:color w:val="0000FF"/>
            <w:u w:val="single"/>
          </w:rPr>
          <w:t>https://doi.org/10.1145/3544548.3581550</w:t>
        </w:r>
      </w:hyperlink>
    </w:p>
    <w:p w14:paraId="00000049" w14:textId="77777777" w:rsidR="00A11F30" w:rsidRDefault="00A11F30">
      <w:pPr>
        <w:pBdr>
          <w:top w:val="nil"/>
          <w:left w:val="nil"/>
          <w:bottom w:val="nil"/>
          <w:right w:val="nil"/>
          <w:between w:val="nil"/>
        </w:pBdr>
        <w:tabs>
          <w:tab w:val="left" w:pos="9072"/>
        </w:tabs>
        <w:spacing w:after="120"/>
        <w:ind w:left="346" w:hanging="346"/>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4A" w14:textId="77777777" w:rsidR="00A11F30" w:rsidRDefault="00000000">
    <w:pPr>
      <w:jc w:val="right"/>
    </w:pPr>
    <w:r>
      <w:fldChar w:fldCharType="begin"/>
    </w:r>
    <w:r>
      <w:instrText>PAGE</w:instrText>
    </w:r>
    <w:r>
      <w:fldChar w:fldCharType="separate"/>
    </w:r>
    <w:r>
      <w:fldChar w:fldCharType="end"/>
    </w:r>
  </w:p>
  <w:p w14:paraId="0000004B" w14:textId="77777777" w:rsidR="00A11F30" w:rsidRDefault="00A11F30">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4C" w14:textId="77777777" w:rsidR="00A11F30" w:rsidRDefault="00A11F30">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141E2C"/>
    <w:multiLevelType w:val="multilevel"/>
    <w:tmpl w:val="63367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C10278"/>
    <w:multiLevelType w:val="multilevel"/>
    <w:tmpl w:val="63367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D23E1B"/>
    <w:multiLevelType w:val="multilevel"/>
    <w:tmpl w:val="B9DA72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235012817">
    <w:abstractNumId w:val="2"/>
  </w:num>
  <w:num w:numId="2" w16cid:durableId="617445906">
    <w:abstractNumId w:val="0"/>
  </w:num>
  <w:num w:numId="3" w16cid:durableId="142515196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F30"/>
    <w:rsid w:val="001230EF"/>
    <w:rsid w:val="003E6FAC"/>
    <w:rsid w:val="005A337B"/>
    <w:rsid w:val="00A11F30"/>
    <w:rsid w:val="00A8436C"/>
    <w:rsid w:val="00BC35CE"/>
    <w:rsid w:val="00DA5B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A1A4DB0"/>
  <w15:docId w15:val="{1368CB09-3B32-7544-BDC8-4DAC30B6E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 w:eastAsia="en-GB"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0"/>
      <w:outlineLvl w:val="0"/>
    </w:pPr>
    <w:rPr>
      <w:rFonts w:ascii="Arial" w:eastAsia="Arial" w:hAnsi="Arial" w:cs="Arial"/>
      <w:b/>
      <w:smallCaps/>
      <w:sz w:val="24"/>
      <w:szCs w:val="24"/>
    </w:rPr>
  </w:style>
  <w:style w:type="paragraph" w:styleId="Heading2">
    <w:name w:val="heading 2"/>
    <w:basedOn w:val="Normal"/>
    <w:next w:val="Normal"/>
    <w:uiPriority w:val="9"/>
    <w:unhideWhenUsed/>
    <w:qFormat/>
    <w:pPr>
      <w:keepNext/>
      <w:spacing w:before="240" w:after="0"/>
      <w:outlineLvl w:val="1"/>
    </w:pPr>
    <w:rPr>
      <w:rFonts w:ascii="Arial" w:eastAsia="Arial" w:hAnsi="Arial" w:cs="Arial"/>
      <w:b/>
      <w:sz w:val="24"/>
      <w:szCs w:val="24"/>
    </w:rPr>
  </w:style>
  <w:style w:type="paragraph" w:styleId="Heading3">
    <w:name w:val="heading 3"/>
    <w:basedOn w:val="Normal"/>
    <w:next w:val="Normal"/>
    <w:uiPriority w:val="9"/>
    <w:semiHidden/>
    <w:unhideWhenUsed/>
    <w:qFormat/>
    <w:pPr>
      <w:keepNext/>
      <w:spacing w:before="240" w:after="0"/>
      <w:outlineLvl w:val="2"/>
    </w:pPr>
    <w:rPr>
      <w:rFonts w:ascii="Arial" w:eastAsia="Arial" w:hAnsi="Arial" w:cs="Arial"/>
      <w:i/>
      <w:sz w:val="24"/>
      <w:szCs w:val="24"/>
    </w:rPr>
  </w:style>
  <w:style w:type="paragraph" w:styleId="Heading4">
    <w:name w:val="heading 4"/>
    <w:basedOn w:val="Normal"/>
    <w:next w:val="Normal"/>
    <w:uiPriority w:val="9"/>
    <w:semiHidden/>
    <w:unhideWhenUsed/>
    <w:qFormat/>
    <w:pPr>
      <w:keepNext/>
      <w:jc w:val="center"/>
      <w:outlineLvl w:val="3"/>
    </w:pPr>
    <w:rPr>
      <w:rFonts w:ascii="Times" w:eastAsia="Times" w:hAnsi="Times" w:cs="Times"/>
      <w:b/>
      <w:sz w:val="28"/>
      <w:szCs w:val="28"/>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before="240"/>
      <w:ind w:left="720" w:right="720"/>
      <w:jc w:val="center"/>
    </w:pPr>
    <w:rPr>
      <w:rFonts w:ascii="Arial" w:eastAsia="Arial" w:hAnsi="Arial" w:cs="Arial"/>
      <w:b/>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C35CE"/>
    <w:pPr>
      <w:tabs>
        <w:tab w:val="center" w:pos="4513"/>
        <w:tab w:val="right" w:pos="9026"/>
      </w:tabs>
      <w:spacing w:after="0"/>
    </w:pPr>
  </w:style>
  <w:style w:type="character" w:customStyle="1" w:styleId="HeaderChar">
    <w:name w:val="Header Char"/>
    <w:basedOn w:val="DefaultParagraphFont"/>
    <w:link w:val="Header"/>
    <w:uiPriority w:val="99"/>
    <w:rsid w:val="00BC35CE"/>
  </w:style>
  <w:style w:type="paragraph" w:styleId="NormalWeb">
    <w:name w:val="Normal (Web)"/>
    <w:basedOn w:val="Normal"/>
    <w:uiPriority w:val="99"/>
    <w:semiHidden/>
    <w:unhideWhenUsed/>
    <w:rsid w:val="00BC35CE"/>
    <w:pPr>
      <w:spacing w:before="100" w:beforeAutospacing="1" w:after="100" w:afterAutospacing="1"/>
      <w:jc w:val="left"/>
    </w:pPr>
    <w:rPr>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condauthor@institution.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firstauthor@institution.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hirdauthor@institution.com" TargetMode="Externa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3" Type="http://schemas.openxmlformats.org/officeDocument/2006/relationships/hyperlink" Target="https://doi.org/10.1177/1555412019873746" TargetMode="External"/><Relationship Id="rId2" Type="http://schemas.openxmlformats.org/officeDocument/2006/relationships/hyperlink" Target="http://gamestudies.org/1501/articles/carter" TargetMode="External"/><Relationship Id="rId1" Type="http://schemas.openxmlformats.org/officeDocument/2006/relationships/hyperlink" Target="https://ses.library.usyd.edu.au/handle/2123/27979" TargetMode="External"/><Relationship Id="rId6" Type="http://schemas.openxmlformats.org/officeDocument/2006/relationships/hyperlink" Target="https://doi.org/10.1145/3544548.3581550" TargetMode="External"/><Relationship Id="rId5" Type="http://schemas.openxmlformats.org/officeDocument/2006/relationships/hyperlink" Target="https://doi.org/10.1145/3474688" TargetMode="External"/><Relationship Id="rId4" Type="http://schemas.openxmlformats.org/officeDocument/2006/relationships/hyperlink" Target="https://www.youtube.com/watch?v=sWJ3qzk5k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ddaa77bc-0157-46a4-82a6-8fc765694bc9}" enabled="1" method="Standard" siteId="{d1323671-cdbe-4417-b4d4-bdb24b51316b}"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James Manning</cp:lastModifiedBy>
  <cp:revision>3</cp:revision>
  <dcterms:created xsi:type="dcterms:W3CDTF">2026-08-05T05:24:00Z</dcterms:created>
  <dcterms:modified xsi:type="dcterms:W3CDTF">2026-08-05T05:26:00Z</dcterms:modified>
</cp:coreProperties>
</file>